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7B8191">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14bis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503777</w:t>
      </w:r>
      <w:bookmarkStart w:id="9" w:name="_GoBack"/>
      <w:bookmarkEnd w:id="9"/>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cs="Times New Roman"/>
          <w:b/>
          <w:bCs/>
          <w:sz w:val="24"/>
          <w:highlight w:val="none"/>
        </w:rPr>
        <w:t>Wuhan, Hubei, China, 07</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 11</w:t>
      </w:r>
      <w:r>
        <w:rPr>
          <w:rFonts w:hint="default" w:ascii="Times New Roman" w:hAnsi="Times New Roman" w:cs="Times New Roman"/>
          <w:b/>
          <w:bCs/>
          <w:sz w:val="24"/>
          <w:highlight w:val="none"/>
          <w:vertAlign w:val="superscript"/>
        </w:rPr>
        <w:t>th</w:t>
      </w:r>
      <w:r>
        <w:rPr>
          <w:rFonts w:hint="default" w:ascii="Times New Roman" w:hAnsi="Times New Roman" w:cs="Times New Roman"/>
          <w:b/>
          <w:bCs/>
          <w:sz w:val="24"/>
          <w:highlight w:val="none"/>
        </w:rPr>
        <w:t xml:space="preserve"> April, 2025</w:t>
      </w:r>
    </w:p>
    <w:p w14:paraId="1616F9CF">
      <w:pPr>
        <w:tabs>
          <w:tab w:val="left" w:pos="1985"/>
        </w:tabs>
        <w:rPr>
          <w:rFonts w:ascii="Times New Roman" w:hAnsi="Times New Roman"/>
          <w:b/>
          <w:sz w:val="22"/>
          <w:highlight w:val="none"/>
        </w:rPr>
      </w:pPr>
    </w:p>
    <w:p w14:paraId="52487F0C">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21</w:t>
      </w:r>
      <w:r>
        <w:rPr>
          <w:rFonts w:hint="eastAsia" w:ascii="Times New Roman" w:hAnsi="Times New Roman"/>
          <w:sz w:val="22"/>
          <w:highlight w:val="none"/>
        </w:rPr>
        <w:t>.</w:t>
      </w:r>
      <w:r>
        <w:rPr>
          <w:rFonts w:hint="eastAsia" w:ascii="Times New Roman" w:hAnsi="Times New Roman"/>
          <w:sz w:val="22"/>
          <w:highlight w:val="none"/>
          <w:lang w:val="en-US" w:eastAsia="zh-CN"/>
        </w:rPr>
        <w:t>3</w:t>
      </w:r>
    </w:p>
    <w:p w14:paraId="10029651">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F665BAD">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3"/>
      <w:bookmarkStart w:id="3" w:name="OLE_LINK24"/>
      <w:bookmarkStart w:id="4" w:name="OLE_LINK7"/>
      <w:bookmarkStart w:id="5" w:name="OLE_LINK8"/>
      <w:r>
        <w:rPr>
          <w:rFonts w:hint="eastAsia" w:ascii="Times New Roman" w:hAnsi="Times New Roman"/>
          <w:b/>
          <w:sz w:val="22"/>
          <w:highlight w:val="none"/>
          <w:lang w:val="en-US" w:eastAsia="zh-CN"/>
        </w:rPr>
        <w:t xml:space="preserve"> </w:t>
      </w:r>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testability and interoperability for AI/ML for mobility</w:t>
      </w:r>
    </w:p>
    <w:bookmarkEnd w:id="4"/>
    <w:bookmarkEnd w:id="5"/>
    <w:p w14:paraId="2F899A6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5F553CB1">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49CCD571">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[1]. The objectives for RAN4 are duplicated as following.</w:t>
      </w:r>
    </w:p>
    <w:tbl>
      <w:tblPr>
        <w:tblStyle w:val="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38CA6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65B48765">
            <w:pPr>
              <w:widowControl w:val="0"/>
              <w:numPr>
                <w:ilvl w:val="0"/>
                <w:numId w:val="3"/>
              </w:numPr>
              <w:overflowPunct/>
              <w:autoSpaceDE/>
              <w:autoSpaceDN/>
              <w:adjustRightInd/>
              <w:spacing w:after="0"/>
              <w:ind w:hanging="357"/>
              <w:jc w:val="both"/>
              <w:textAlignment w:val="auto"/>
              <w:rPr>
                <w:rFonts w:hint="default" w:ascii="Times New Roman" w:hAnsi="Times New Roman" w:cs="Times New Roman"/>
                <w:bCs/>
                <w:sz w:val="20"/>
                <w:szCs w:val="20"/>
              </w:rPr>
            </w:pPr>
            <w:bookmarkStart w:id="6" w:name="_Hlk153472406"/>
            <w:r>
              <w:rPr>
                <w:rFonts w:hint="default" w:ascii="Times New Roman" w:hAnsi="Times New Roman" w:cs="Times New Roman"/>
                <w:bCs/>
                <w:sz w:val="20"/>
                <w:szCs w:val="20"/>
                <w:lang w:eastAsia="zh-CN"/>
              </w:rPr>
              <w:t>Evaluate testability, interoperability,</w:t>
            </w:r>
            <w:bookmarkEnd w:id="6"/>
            <w:r>
              <w:rPr>
                <w:rFonts w:hint="default" w:ascii="Times New Roman" w:hAnsi="Times New Roman" w:cs="Times New Roman"/>
                <w:bCs/>
                <w:sz w:val="20"/>
                <w:szCs w:val="20"/>
                <w:lang w:eastAsia="zh-CN"/>
              </w:rPr>
              <w:t xml:space="preserve"> and </w:t>
            </w:r>
            <w:r>
              <w:rPr>
                <w:rFonts w:hint="default" w:ascii="Times New Roman" w:hAnsi="Times New Roman" w:cs="Times New Roman"/>
                <w:bCs/>
                <w:sz w:val="20"/>
                <w:szCs w:val="20"/>
              </w:rPr>
              <w:t>impacts on RRM requirements and performance</w:t>
            </w:r>
            <w:r>
              <w:rPr>
                <w:rFonts w:hint="default" w:ascii="Times New Roman" w:hAnsi="Times New Roman" w:cs="Times New Roman"/>
                <w:bCs/>
                <w:sz w:val="20"/>
                <w:szCs w:val="20"/>
                <w:lang w:eastAsia="zh-CN"/>
              </w:rPr>
              <w:t xml:space="preserve"> [RAN4]</w:t>
            </w:r>
          </w:p>
          <w:p w14:paraId="1E1B0D8C">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Study the impacts on requirements based on RAN2 assumptions, and coordinate with RAN2 if needed </w:t>
            </w:r>
          </w:p>
          <w:p w14:paraId="6BDFF375">
            <w:pPr>
              <w:widowControl w:val="0"/>
              <w:numPr>
                <w:ilvl w:val="1"/>
                <w:numId w:val="3"/>
              </w:numPr>
              <w:tabs>
                <w:tab w:val="left" w:pos="720"/>
              </w:tabs>
              <w:overflowPunct/>
              <w:autoSpaceDE/>
              <w:autoSpaceDN/>
              <w:adjustRightInd/>
              <w:spacing w:after="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Study the testability and interoperability based on RAN2 framework (e.g., number of cells to measure, beams etc.)</w:t>
            </w:r>
          </w:p>
          <w:p w14:paraId="7CF88459">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 xml:space="preserve">NOTE 4: Leverage the work from “AI/ML for NR air interface” led by RAN1 and avoid the duplicate study for testability and interoperability. </w:t>
            </w:r>
          </w:p>
          <w:p w14:paraId="71B936B1">
            <w:pPr>
              <w:pStyle w:val="12"/>
              <w:widowControl w:val="0"/>
              <w:numPr>
                <w:ilvl w:val="1"/>
                <w:numId w:val="3"/>
              </w:numPr>
              <w:overflowPunct/>
              <w:autoSpaceDE/>
              <w:autoSpaceDN/>
              <w:adjustRightInd/>
              <w:spacing w:after="0"/>
              <w:ind w:firstLineChars="0"/>
              <w:jc w:val="both"/>
              <w:textAlignment w:val="auto"/>
              <w:rPr>
                <w:rFonts w:hint="default" w:ascii="Times New Roman" w:hAnsi="Times New Roman" w:cs="Times New Roman"/>
                <w:bCs/>
                <w:sz w:val="20"/>
                <w:szCs w:val="20"/>
                <w:lang w:val="en-US"/>
              </w:rPr>
            </w:pPr>
            <w:r>
              <w:rPr>
                <w:rFonts w:hint="default" w:ascii="Times New Roman" w:hAnsi="Times New Roman" w:cs="Times New Roman"/>
                <w:bCs/>
                <w:sz w:val="20"/>
                <w:szCs w:val="20"/>
                <w:lang w:val="en-US"/>
              </w:rPr>
              <w:t>NOTE 5: Avoid the overlaps with RAN2 work for evaluation</w:t>
            </w:r>
          </w:p>
          <w:p w14:paraId="0F1548FE">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D5B017B">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w:t>
      </w:r>
      <w:r>
        <w:rPr>
          <w:rFonts w:hint="eastAsia" w:ascii="Times New Roman" w:hAnsi="Times New Roman"/>
          <w:sz w:val="22"/>
          <w:lang w:val="en-US" w:eastAsia="zh-CN"/>
        </w:rPr>
        <w:t>AI/ML for mobilit</w:t>
      </w:r>
      <w:r>
        <w:rPr>
          <w:rFonts w:hint="eastAsia" w:ascii="Times New Roman" w:hAnsi="Times New Roman"/>
          <w:sz w:val="22"/>
          <w:highlight w:val="none"/>
          <w:lang w:val="en-US" w:eastAsia="zh-CN"/>
        </w:rPr>
        <w:t>y</w:t>
      </w:r>
      <w:r>
        <w:rPr>
          <w:rFonts w:hint="eastAsia" w:ascii="Times New Roman" w:hAnsi="Times New Roman"/>
          <w:sz w:val="20"/>
          <w:szCs w:val="20"/>
          <w:lang w:val="en-US" w:eastAsia="zh-CN"/>
        </w:rPr>
        <w:t xml:space="preserve">, and a WF was agreed [2]. </w:t>
      </w:r>
      <w:r>
        <w:rPr>
          <w:rFonts w:ascii="Times New Roman" w:hAnsi="Times New Roman"/>
          <w:sz w:val="20"/>
          <w:szCs w:val="20"/>
        </w:rPr>
        <w:t>T</w:t>
      </w:r>
      <w:r>
        <w:rPr>
          <w:rFonts w:hint="eastAsia" w:ascii="Times New Roman" w:hAnsi="Times New Roman"/>
          <w:sz w:val="20"/>
          <w:szCs w:val="20"/>
        </w:rPr>
        <w:t>his 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testability and interoperability for AI/ML for mobility</w:t>
      </w:r>
      <w:r>
        <w:rPr>
          <w:rFonts w:hint="eastAsia" w:ascii="Times New Roman" w:hAnsi="Times New Roman"/>
          <w:sz w:val="20"/>
          <w:szCs w:val="20"/>
        </w:rPr>
        <w:t>.</w:t>
      </w:r>
    </w:p>
    <w:p w14:paraId="17A0436B">
      <w:pPr>
        <w:pStyle w:val="2"/>
        <w:widowControl/>
        <w:numPr>
          <w:ilvl w:val="0"/>
          <w:numId w:val="2"/>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7" w:name="OLE_LINK2"/>
      <w:bookmarkStart w:id="8" w:name="OLE_LINK1"/>
      <w:r>
        <w:rPr>
          <w:rFonts w:ascii="Times New Roman" w:hAnsi="Times New Roman"/>
          <w:i/>
          <w:sz w:val="20"/>
          <w:szCs w:val="20"/>
        </w:rPr>
        <w:t xml:space="preserve"> </w:t>
      </w:r>
    </w:p>
    <w:p w14:paraId="68FDD74A">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cs="Times New Roman"/>
          <w:bCs/>
          <w:iCs/>
          <w:sz w:val="20"/>
          <w:szCs w:val="20"/>
          <w:lang w:val="en-US" w:eastAsia="zh-CN"/>
        </w:rPr>
      </w:pPr>
      <w:r>
        <w:rPr>
          <w:rFonts w:hint="eastAsia" w:ascii="Times New Roman" w:hAnsi="Times New Roman" w:eastAsia="等线" w:cs="Times New Roman"/>
          <w:bCs/>
          <w:iCs/>
          <w:sz w:val="20"/>
          <w:szCs w:val="20"/>
          <w:lang w:val="en-US" w:eastAsia="zh-CN"/>
        </w:rPr>
        <w:t>In RAN4 #112bis meeting, it was agreed that RAN4 to start the discussion for scenario 2, 3, 4. According to RAN2 agreements, scenario 2 (intra-frequency intra-cell temporal domain case B prediction) (scenario number 2,5) is evaluated by predicting a sub set of measurement instances in temporal domain of the same cell for FR1. Scenario 3(</w:t>
      </w:r>
      <w:r>
        <w:rPr>
          <w:rFonts w:hint="default" w:ascii="Times New Roman" w:hAnsi="Times New Roman" w:eastAsia="等线" w:cs="Times New Roman"/>
          <w:bCs/>
          <w:iCs/>
          <w:sz w:val="20"/>
          <w:szCs w:val="20"/>
          <w:lang w:val="en-US" w:eastAsia="zh-CN"/>
        </w:rPr>
        <w:t>FR1 to FR1 inter-frequency inter-cell prediction</w:t>
      </w:r>
      <w:r>
        <w:rPr>
          <w:rFonts w:hint="eastAsia" w:ascii="Times New Roman" w:hAnsi="Times New Roman" w:eastAsia="等线" w:cs="Times New Roman"/>
          <w:bCs/>
          <w:iCs/>
          <w:sz w:val="20"/>
          <w:szCs w:val="20"/>
          <w:lang w:val="en-US" w:eastAsia="zh-CN"/>
        </w:rPr>
        <w:t>)</w:t>
      </w:r>
      <w:r>
        <w:rPr>
          <w:rFonts w:hint="default" w:ascii="Times New Roman" w:hAnsi="Times New Roman" w:eastAsia="等线" w:cs="Times New Roman"/>
          <w:bCs/>
          <w:iCs/>
          <w:sz w:val="20"/>
          <w:szCs w:val="20"/>
          <w:lang w:val="en-US" w:eastAsia="zh-CN"/>
        </w:rPr>
        <w:t xml:space="preserve"> focus on the case where cell to be measured and cell to be predicted are located in the same sector of either serving site or same neighbouring site</w:t>
      </w:r>
      <w:r>
        <w:rPr>
          <w:rFonts w:hint="eastAsia" w:ascii="Times New Roman" w:hAnsi="Times New Roman" w:eastAsia="等线" w:cs="Times New Roman"/>
          <w:bCs/>
          <w:iCs/>
          <w:sz w:val="20"/>
          <w:szCs w:val="20"/>
          <w:lang w:val="en-US" w:eastAsia="zh-CN"/>
        </w:rPr>
        <w:t xml:space="preserve">. Scenario 4 (intra-frequency intra-cell temporal domain case A prediction) is evaluated by predicting measurement result(s) in prediction window based on actual measurement result(s) in observation window of the same cell for FR1 without reducing any measurement in observation window. </w:t>
      </w:r>
    </w:p>
    <w:p w14:paraId="4A7E286E">
      <w:pPr>
        <w:keepNext w:val="0"/>
        <w:keepLines w:val="0"/>
        <w:pageBreakBefore w:val="0"/>
        <w:widowControl w:val="0"/>
        <w:kinsoku/>
        <w:wordWrap/>
        <w:overflowPunct/>
        <w:topLinePunct w:val="0"/>
        <w:autoSpaceDE/>
        <w:autoSpaceDN/>
        <w:bidi w:val="0"/>
        <w:adjustRightInd/>
        <w:snapToGrid/>
        <w:spacing w:after="180" w:line="240" w:lineRule="auto"/>
        <w:jc w:val="center"/>
        <w:textAlignment w:val="auto"/>
        <w:rPr>
          <w:rFonts w:hint="default" w:ascii="Times New Roman" w:hAnsi="Times New Roman" w:eastAsia="等线" w:cs="Times New Roman"/>
          <w:bCs/>
          <w:iCs/>
          <w:sz w:val="20"/>
          <w:szCs w:val="20"/>
          <w:lang w:val="en-US" w:eastAsia="zh-CN"/>
        </w:rPr>
      </w:pPr>
      <w:r>
        <w:rPr>
          <w:rFonts w:hint="default" w:ascii="Times New Roman" w:hAnsi="Times New Roman" w:eastAsia="等线" w:cs="Times New Roman"/>
          <w:bCs/>
          <w:iCs/>
          <w:sz w:val="20"/>
          <w:szCs w:val="20"/>
          <w:lang w:val="en-US" w:eastAsia="zh-CN"/>
        </w:rPr>
        <w:t xml:space="preserve">Table 1 </w:t>
      </w:r>
      <w:r>
        <w:rPr>
          <w:rFonts w:hint="default" w:ascii="Times New Roman" w:hAnsi="Times New Roman" w:cs="Times New Roman"/>
          <w:b w:val="0"/>
          <w:bCs/>
          <w:sz w:val="20"/>
          <w:szCs w:val="20"/>
        </w:rPr>
        <w:t>Prioritization of evaluation scenarios in RAN2</w:t>
      </w:r>
    </w:p>
    <w:tbl>
      <w:tblPr>
        <w:tblStyle w:val="10"/>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6"/>
        <w:gridCol w:w="1278"/>
        <w:gridCol w:w="3769"/>
        <w:gridCol w:w="1262"/>
        <w:gridCol w:w="1339"/>
      </w:tblGrid>
      <w:tr w14:paraId="2239E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A96BB92">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Scenario number</w:t>
            </w:r>
          </w:p>
        </w:tc>
        <w:tc>
          <w:tcPr>
            <w:tcW w:w="1278" w:type="dxa"/>
            <w:tcBorders>
              <w:top w:val="single" w:color="auto" w:sz="4" w:space="0"/>
              <w:left w:val="single" w:color="auto" w:sz="4" w:space="0"/>
              <w:bottom w:val="single" w:color="auto" w:sz="4" w:space="0"/>
              <w:right w:val="single" w:color="auto" w:sz="4" w:space="0"/>
            </w:tcBorders>
          </w:tcPr>
          <w:p w14:paraId="7396DA01">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 xml:space="preserve">Priority </w:t>
            </w:r>
          </w:p>
        </w:tc>
        <w:tc>
          <w:tcPr>
            <w:tcW w:w="3769" w:type="dxa"/>
            <w:tcBorders>
              <w:top w:val="single" w:color="auto" w:sz="4" w:space="0"/>
              <w:left w:val="single" w:color="auto" w:sz="4" w:space="0"/>
              <w:bottom w:val="single" w:color="auto" w:sz="4" w:space="0"/>
              <w:right w:val="single" w:color="auto" w:sz="4" w:space="0"/>
            </w:tcBorders>
          </w:tcPr>
          <w:p w14:paraId="1CCD09D0">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Evaluation scenario</w:t>
            </w:r>
          </w:p>
        </w:tc>
        <w:tc>
          <w:tcPr>
            <w:tcW w:w="1262" w:type="dxa"/>
            <w:tcBorders>
              <w:top w:val="single" w:color="auto" w:sz="4" w:space="0"/>
              <w:left w:val="single" w:color="auto" w:sz="4" w:space="0"/>
              <w:bottom w:val="single" w:color="auto" w:sz="4" w:space="0"/>
              <w:right w:val="single" w:color="auto" w:sz="4" w:space="0"/>
            </w:tcBorders>
          </w:tcPr>
          <w:p w14:paraId="24C1F146">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Target study goal</w:t>
            </w:r>
          </w:p>
        </w:tc>
        <w:tc>
          <w:tcPr>
            <w:tcW w:w="1339" w:type="dxa"/>
            <w:tcBorders>
              <w:top w:val="single" w:color="auto" w:sz="4" w:space="0"/>
              <w:left w:val="single" w:color="auto" w:sz="4" w:space="0"/>
              <w:bottom w:val="single" w:color="auto" w:sz="4" w:space="0"/>
              <w:right w:val="single" w:color="auto" w:sz="4" w:space="0"/>
            </w:tcBorders>
          </w:tcPr>
          <w:p w14:paraId="7ECCBAD9">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Methodology</w:t>
            </w:r>
          </w:p>
        </w:tc>
      </w:tr>
      <w:tr w14:paraId="5353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2D6734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p>
        </w:tc>
        <w:tc>
          <w:tcPr>
            <w:tcW w:w="1278" w:type="dxa"/>
            <w:tcBorders>
              <w:top w:val="single" w:color="auto" w:sz="4" w:space="0"/>
              <w:left w:val="single" w:color="auto" w:sz="4" w:space="0"/>
              <w:bottom w:val="single" w:color="auto" w:sz="4" w:space="0"/>
              <w:right w:val="single" w:color="auto" w:sz="4" w:space="0"/>
            </w:tcBorders>
          </w:tcPr>
          <w:p w14:paraId="0BD1882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2D2CE01E">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FR1 to FR1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42FCFF2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2</w:t>
            </w:r>
            <w:r>
              <w:rPr>
                <w:rFonts w:hint="default" w:ascii="Times New Roman" w:hAnsi="Times New Roman" w:eastAsia="Yu Mincho" w:cs="Times New Roman"/>
                <w:sz w:val="20"/>
                <w:szCs w:val="20"/>
                <w:vertAlign w:val="superscript"/>
              </w:rPr>
              <w:t>nd</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2E1E6CB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1054B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4023ABB2">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2</w:t>
            </w:r>
          </w:p>
        </w:tc>
        <w:tc>
          <w:tcPr>
            <w:tcW w:w="1278" w:type="dxa"/>
            <w:tcBorders>
              <w:top w:val="single" w:color="auto" w:sz="4" w:space="0"/>
              <w:left w:val="single" w:color="auto" w:sz="4" w:space="0"/>
              <w:bottom w:val="single" w:color="auto" w:sz="4" w:space="0"/>
              <w:right w:val="single" w:color="auto" w:sz="4" w:space="0"/>
            </w:tcBorders>
          </w:tcPr>
          <w:p w14:paraId="310BD307">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0B1D4FE0">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FR1 to FR1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35E2E472">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1</w:t>
            </w:r>
            <w:r>
              <w:rPr>
                <w:rFonts w:hint="default" w:ascii="Times New Roman" w:hAnsi="Times New Roman" w:eastAsia="Yu Mincho" w:cs="Times New Roman"/>
                <w:b/>
                <w:bCs/>
                <w:sz w:val="20"/>
                <w:szCs w:val="20"/>
                <w:vertAlign w:val="superscript"/>
              </w:rPr>
              <w:t>st</w:t>
            </w:r>
            <w:r>
              <w:rPr>
                <w:rFonts w:hint="default" w:ascii="Times New Roman" w:hAnsi="Times New Roman" w:eastAsia="Yu Mincho" w:cs="Times New Roman"/>
                <w:b/>
                <w:bCs/>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02CE6AFC">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vertAlign w:val="superscript"/>
              </w:rPr>
            </w:pPr>
            <w:r>
              <w:rPr>
                <w:rFonts w:hint="default" w:ascii="Times New Roman" w:hAnsi="Times New Roman" w:eastAsia="Yu Mincho" w:cs="Times New Roman"/>
                <w:b/>
                <w:bCs/>
                <w:sz w:val="20"/>
                <w:szCs w:val="20"/>
                <w:highlight w:val="cyan"/>
              </w:rPr>
              <w:t>Intra-cell</w:t>
            </w:r>
          </w:p>
        </w:tc>
      </w:tr>
      <w:tr w14:paraId="5B833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215CC479">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3</w:t>
            </w:r>
          </w:p>
        </w:tc>
        <w:tc>
          <w:tcPr>
            <w:tcW w:w="1278" w:type="dxa"/>
            <w:tcBorders>
              <w:top w:val="single" w:color="auto" w:sz="4" w:space="0"/>
              <w:left w:val="single" w:color="auto" w:sz="4" w:space="0"/>
              <w:bottom w:val="single" w:color="auto" w:sz="4" w:space="0"/>
              <w:right w:val="single" w:color="auto" w:sz="4" w:space="0"/>
            </w:tcBorders>
          </w:tcPr>
          <w:p w14:paraId="43B019C7">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1008B895">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FR1 to FR1 inter-frequency (frequency domain)</w:t>
            </w:r>
          </w:p>
        </w:tc>
        <w:tc>
          <w:tcPr>
            <w:tcW w:w="1262" w:type="dxa"/>
            <w:tcBorders>
              <w:top w:val="single" w:color="auto" w:sz="4" w:space="0"/>
              <w:left w:val="single" w:color="auto" w:sz="4" w:space="0"/>
              <w:bottom w:val="single" w:color="auto" w:sz="4" w:space="0"/>
              <w:right w:val="single" w:color="auto" w:sz="4" w:space="0"/>
            </w:tcBorders>
          </w:tcPr>
          <w:p w14:paraId="47C0C98D">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1</w:t>
            </w:r>
            <w:r>
              <w:rPr>
                <w:rFonts w:hint="default" w:ascii="Times New Roman" w:hAnsi="Times New Roman" w:eastAsia="Yu Mincho" w:cs="Times New Roman"/>
                <w:b/>
                <w:bCs/>
                <w:sz w:val="20"/>
                <w:szCs w:val="20"/>
                <w:vertAlign w:val="superscript"/>
              </w:rPr>
              <w:t>st</w:t>
            </w:r>
            <w:r>
              <w:rPr>
                <w:rFonts w:hint="default" w:ascii="Times New Roman" w:hAnsi="Times New Roman" w:eastAsia="Yu Mincho" w:cs="Times New Roman"/>
                <w:b/>
                <w:bCs/>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79CD384B">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 xml:space="preserve">Inter-cell </w:t>
            </w:r>
          </w:p>
        </w:tc>
      </w:tr>
      <w:tr w14:paraId="38E7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6BF44E37">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4</w:t>
            </w:r>
          </w:p>
        </w:tc>
        <w:tc>
          <w:tcPr>
            <w:tcW w:w="1278" w:type="dxa"/>
            <w:tcBorders>
              <w:top w:val="single" w:color="auto" w:sz="4" w:space="0"/>
              <w:left w:val="single" w:color="auto" w:sz="4" w:space="0"/>
              <w:bottom w:val="single" w:color="auto" w:sz="4" w:space="0"/>
              <w:right w:val="single" w:color="auto" w:sz="4" w:space="0"/>
            </w:tcBorders>
          </w:tcPr>
          <w:p w14:paraId="1B81A581">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High</w:t>
            </w:r>
          </w:p>
        </w:tc>
        <w:tc>
          <w:tcPr>
            <w:tcW w:w="3769" w:type="dxa"/>
            <w:tcBorders>
              <w:top w:val="single" w:color="auto" w:sz="4" w:space="0"/>
              <w:left w:val="single" w:color="auto" w:sz="4" w:space="0"/>
              <w:bottom w:val="single" w:color="auto" w:sz="4" w:space="0"/>
              <w:right w:val="single" w:color="auto" w:sz="4" w:space="0"/>
            </w:tcBorders>
          </w:tcPr>
          <w:p w14:paraId="7B6EA497">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FR2 to FR2 intra-frequency temporal domain case A</w:t>
            </w:r>
          </w:p>
        </w:tc>
        <w:tc>
          <w:tcPr>
            <w:tcW w:w="1262" w:type="dxa"/>
            <w:tcBorders>
              <w:top w:val="single" w:color="auto" w:sz="4" w:space="0"/>
              <w:left w:val="single" w:color="auto" w:sz="4" w:space="0"/>
              <w:bottom w:val="single" w:color="auto" w:sz="4" w:space="0"/>
              <w:right w:val="single" w:color="auto" w:sz="4" w:space="0"/>
            </w:tcBorders>
          </w:tcPr>
          <w:p w14:paraId="1938F623">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2</w:t>
            </w:r>
            <w:r>
              <w:rPr>
                <w:rFonts w:hint="default" w:ascii="Times New Roman" w:hAnsi="Times New Roman" w:eastAsia="Yu Mincho" w:cs="Times New Roman"/>
                <w:b/>
                <w:bCs/>
                <w:sz w:val="20"/>
                <w:szCs w:val="20"/>
                <w:vertAlign w:val="superscript"/>
              </w:rPr>
              <w:t>nd</w:t>
            </w:r>
            <w:r>
              <w:rPr>
                <w:rFonts w:hint="default" w:ascii="Times New Roman" w:hAnsi="Times New Roman" w:eastAsia="Yu Mincho" w:cs="Times New Roman"/>
                <w:b/>
                <w:bCs/>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C3662A6">
            <w:pPr>
              <w:overflowPunct w:val="0"/>
              <w:autoSpaceDE w:val="0"/>
              <w:autoSpaceDN w:val="0"/>
              <w:adjustRightInd w:val="0"/>
              <w:spacing w:after="160" w:line="259" w:lineRule="auto"/>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highlight w:val="cyan"/>
              </w:rPr>
              <w:t>Intra-cell</w:t>
            </w:r>
          </w:p>
        </w:tc>
      </w:tr>
      <w:tr w14:paraId="2CA8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120C965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5</w:t>
            </w:r>
          </w:p>
        </w:tc>
        <w:tc>
          <w:tcPr>
            <w:tcW w:w="1278" w:type="dxa"/>
            <w:tcBorders>
              <w:top w:val="single" w:color="auto" w:sz="4" w:space="0"/>
              <w:left w:val="single" w:color="auto" w:sz="4" w:space="0"/>
              <w:bottom w:val="single" w:color="auto" w:sz="4" w:space="0"/>
              <w:right w:val="single" w:color="auto" w:sz="4" w:space="0"/>
            </w:tcBorders>
          </w:tcPr>
          <w:p w14:paraId="506E4B1F">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Low</w:t>
            </w:r>
          </w:p>
        </w:tc>
        <w:tc>
          <w:tcPr>
            <w:tcW w:w="3769" w:type="dxa"/>
            <w:tcBorders>
              <w:top w:val="single" w:color="auto" w:sz="4" w:space="0"/>
              <w:left w:val="single" w:color="auto" w:sz="4" w:space="0"/>
              <w:bottom w:val="single" w:color="auto" w:sz="4" w:space="0"/>
              <w:right w:val="single" w:color="auto" w:sz="4" w:space="0"/>
            </w:tcBorders>
          </w:tcPr>
          <w:p w14:paraId="655BB430">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temporal domain case B</w:t>
            </w:r>
          </w:p>
        </w:tc>
        <w:tc>
          <w:tcPr>
            <w:tcW w:w="1262" w:type="dxa"/>
            <w:tcBorders>
              <w:top w:val="single" w:color="auto" w:sz="4" w:space="0"/>
              <w:left w:val="single" w:color="auto" w:sz="4" w:space="0"/>
              <w:bottom w:val="single" w:color="auto" w:sz="4" w:space="0"/>
              <w:right w:val="single" w:color="auto" w:sz="4" w:space="0"/>
            </w:tcBorders>
          </w:tcPr>
          <w:p w14:paraId="26803473">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4E4BCDE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TBD</w:t>
            </w:r>
          </w:p>
        </w:tc>
      </w:tr>
      <w:tr w14:paraId="7C56D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46" w:type="dxa"/>
            <w:tcBorders>
              <w:top w:val="single" w:color="auto" w:sz="4" w:space="0"/>
              <w:left w:val="single" w:color="auto" w:sz="4" w:space="0"/>
              <w:bottom w:val="single" w:color="auto" w:sz="4" w:space="0"/>
              <w:right w:val="single" w:color="auto" w:sz="4" w:space="0"/>
            </w:tcBorders>
          </w:tcPr>
          <w:p w14:paraId="3E4C6166">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6</w:t>
            </w:r>
          </w:p>
        </w:tc>
        <w:tc>
          <w:tcPr>
            <w:tcW w:w="1278" w:type="dxa"/>
            <w:tcBorders>
              <w:top w:val="single" w:color="auto" w:sz="4" w:space="0"/>
              <w:left w:val="single" w:color="auto" w:sz="4" w:space="0"/>
              <w:bottom w:val="single" w:color="auto" w:sz="4" w:space="0"/>
              <w:right w:val="single" w:color="auto" w:sz="4" w:space="0"/>
            </w:tcBorders>
          </w:tcPr>
          <w:p w14:paraId="40553ABC">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Middle</w:t>
            </w:r>
          </w:p>
        </w:tc>
        <w:tc>
          <w:tcPr>
            <w:tcW w:w="3769" w:type="dxa"/>
            <w:tcBorders>
              <w:top w:val="single" w:color="auto" w:sz="4" w:space="0"/>
              <w:left w:val="single" w:color="auto" w:sz="4" w:space="0"/>
              <w:bottom w:val="single" w:color="auto" w:sz="4" w:space="0"/>
              <w:right w:val="single" w:color="auto" w:sz="4" w:space="0"/>
            </w:tcBorders>
          </w:tcPr>
          <w:p w14:paraId="31BD574A">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FR2 to FR2 intra-frequency spatial domain</w:t>
            </w:r>
          </w:p>
        </w:tc>
        <w:tc>
          <w:tcPr>
            <w:tcW w:w="1262" w:type="dxa"/>
            <w:tcBorders>
              <w:top w:val="single" w:color="auto" w:sz="4" w:space="0"/>
              <w:left w:val="single" w:color="auto" w:sz="4" w:space="0"/>
              <w:bottom w:val="single" w:color="auto" w:sz="4" w:space="0"/>
              <w:right w:val="single" w:color="auto" w:sz="4" w:space="0"/>
            </w:tcBorders>
          </w:tcPr>
          <w:p w14:paraId="625F5A6D">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1</w:t>
            </w:r>
            <w:r>
              <w:rPr>
                <w:rFonts w:hint="default" w:ascii="Times New Roman" w:hAnsi="Times New Roman" w:eastAsia="Yu Mincho" w:cs="Times New Roman"/>
                <w:sz w:val="20"/>
                <w:szCs w:val="20"/>
                <w:vertAlign w:val="superscript"/>
              </w:rPr>
              <w:t>st</w:t>
            </w:r>
            <w:r>
              <w:rPr>
                <w:rFonts w:hint="default" w:ascii="Times New Roman" w:hAnsi="Times New Roman" w:eastAsia="Yu Mincho" w:cs="Times New Roman"/>
                <w:sz w:val="20"/>
                <w:szCs w:val="20"/>
              </w:rPr>
              <w:t xml:space="preserve"> goal</w:t>
            </w:r>
          </w:p>
        </w:tc>
        <w:tc>
          <w:tcPr>
            <w:tcW w:w="1339" w:type="dxa"/>
            <w:tcBorders>
              <w:top w:val="single" w:color="auto" w:sz="4" w:space="0"/>
              <w:left w:val="single" w:color="auto" w:sz="4" w:space="0"/>
              <w:bottom w:val="single" w:color="auto" w:sz="4" w:space="0"/>
              <w:right w:val="single" w:color="auto" w:sz="4" w:space="0"/>
            </w:tcBorders>
          </w:tcPr>
          <w:p w14:paraId="1D45E6F1">
            <w:pPr>
              <w:overflowPunct w:val="0"/>
              <w:autoSpaceDE w:val="0"/>
              <w:autoSpaceDN w:val="0"/>
              <w:adjustRightInd w:val="0"/>
              <w:spacing w:after="160" w:line="259" w:lineRule="auto"/>
              <w:textAlignment w:val="baseline"/>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Intra-cell</w:t>
            </w:r>
          </w:p>
        </w:tc>
      </w:tr>
    </w:tbl>
    <w:p w14:paraId="19E53C03">
      <w:pPr>
        <w:spacing w:after="180" w:line="240" w:lineRule="exact"/>
        <w:rPr>
          <w:rFonts w:hint="eastAsia" w:ascii="Times New Roman" w:hAnsi="Times New Roman" w:eastAsia="等线"/>
          <w:bCs/>
          <w:iCs/>
          <w:sz w:val="20"/>
          <w:szCs w:val="20"/>
          <w:lang w:val="en-US" w:eastAsia="zh-CN"/>
        </w:rPr>
      </w:pPr>
    </w:p>
    <w:p w14:paraId="684B55D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According to RAN2 discussion, there are two approaches about how to perform the prediction, one approach is that both input and output of the model are for one cell, while the other approach is that the input and output are for multiple cells (i.e. cluster-based approach). For cluster-based approach, the RAN2 agreement is that it is up to companies to select the number of cells for input and output (companies should clarify what they are using for cluster-based approach). Cluster-based approach evaluation is optional and lower priority for now. It is proposed that RAN4 can follow RAN2 agreements and focus on the case that the input and output are from one cell.</w:t>
      </w:r>
    </w:p>
    <w:p w14:paraId="73DD59C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As highlighted in blue in Table 1, it can be seen that for intra-frequency temporal domain prediction, intra-cell is considered, which means the input and output of the model are from the same cell. In detail, measurements performed within observation window (OW) are used to perdict measurements inside the prediction window (PW) for the same cell. However, in legacy, the mobility test setup are based on two cells, i.e. UE perform measurement of neighbour cell (cell 2) when in connection with serving cell (cell 1). The two-cell setup cannot be directly reused for AI/ML, some modification are needed. </w:t>
      </w:r>
    </w:p>
    <w:p w14:paraId="27409C8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test on </w:t>
      </w:r>
      <w:r>
        <w:rPr>
          <w:rFonts w:hint="default" w:ascii="Times New Roman" w:hAnsi="Times New Roman" w:eastAsia="Yu Mincho" w:cs="Times New Roman"/>
          <w:b/>
          <w:bCs w:val="0"/>
          <w:i/>
          <w:iCs w:val="0"/>
          <w:sz w:val="20"/>
          <w:szCs w:val="20"/>
        </w:rPr>
        <w:t>intra-frequency temporal domain</w:t>
      </w:r>
      <w:r>
        <w:rPr>
          <w:rFonts w:hint="eastAsia" w:ascii="Times New Roman" w:hAnsi="Times New Roman" w:cs="Times New Roman"/>
          <w:b/>
          <w:bCs w:val="0"/>
          <w:i/>
          <w:iCs w:val="0"/>
          <w:sz w:val="20"/>
          <w:szCs w:val="20"/>
          <w:lang w:val="en-US" w:eastAsia="zh-CN"/>
        </w:rPr>
        <w:t xml:space="preserve"> prediction</w:t>
      </w:r>
      <w:r>
        <w:rPr>
          <w:rFonts w:hint="eastAsia" w:ascii="Times New Roman" w:hAnsi="Times New Roman" w:eastAsia="等线"/>
          <w:b/>
          <w:bCs w:val="0"/>
          <w:i/>
          <w:iCs w:val="0"/>
          <w:sz w:val="20"/>
          <w:szCs w:val="20"/>
          <w:lang w:val="en-US" w:eastAsia="zh-CN"/>
        </w:rPr>
        <w:t xml:space="preserve">tes (scenario 2 and 4), the test setup for legacy mobility can be used as baseline but with modification, since test setup for legacy mobility is based on two cells while AI/ML test targets for intra-cell.     </w:t>
      </w:r>
    </w:p>
    <w:p w14:paraId="4AB1AFA8">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scenrio 3 (FR1 to FR1 inter-frequency frequency domain prediction), measurements performed for one cell  are used to perdict measurements for another cell. As discussed above, legacy inter-frequency mobility tests are based on two cells, which seems can be reused for AI/ML. However, it is noticed that according to RAN2 discussion, for inter-frequency, cluster as input (i.e. measurements from different cells as inputs ) can improve the prediction accuracy than single cell as input. RAN2 will focus on frequency domain for cluster based approach. Taking above into account, RAN4 need to consider the test for cluster based approach, which seems legacy test setup caanot be reused.</w:t>
      </w:r>
    </w:p>
    <w:p w14:paraId="0B6852A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test on inter-frequency frequency domain prediction (scenario 3), it is proposed to discuss how to update leagcy test setup based on two cells, since RAN2 agree to focus on frequency domain for cluster based approach.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534F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BF7ED1E">
            <w:pPr>
              <w:pStyle w:val="14"/>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Issue 3-1-4: Ground Truth derivation</w:t>
            </w:r>
          </w:p>
          <w:p w14:paraId="558A13D8">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2D283138">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1 (OPPO):</w:t>
            </w:r>
          </w:p>
          <w:p w14:paraId="79F4EC75">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T</w:t>
            </w:r>
            <w:r>
              <w:rPr>
                <w:rFonts w:hint="default" w:ascii="Times New Roman" w:hAnsi="Times New Roman" w:eastAsia="Yu Mincho" w:cs="Times New Roman"/>
                <w:sz w:val="20"/>
                <w:szCs w:val="20"/>
              </w:rPr>
              <w:t>he ground truth derivation in tests, the actual measurement report based on legacy procedure can be used.</w:t>
            </w:r>
          </w:p>
          <w:p w14:paraId="442050C5">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2 (CMCC):</w:t>
            </w:r>
          </w:p>
          <w:p w14:paraId="26C7709B">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T</w:t>
            </w:r>
            <w:r>
              <w:rPr>
                <w:rFonts w:hint="default" w:ascii="Times New Roman" w:hAnsi="Times New Roman" w:eastAsia="Yu Mincho" w:cs="Times New Roman"/>
                <w:sz w:val="20"/>
                <w:szCs w:val="20"/>
              </w:rPr>
              <w:t xml:space="preserve">he ground truth is the transmit power settled by TE. </w:t>
            </w:r>
          </w:p>
          <w:p w14:paraId="4C37B862">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3(CATT):</w:t>
            </w:r>
          </w:p>
          <w:p w14:paraId="10A96BC9">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ground truth is known to TE when TE randomly adjusts the transmitting power of SSBs from all cells to model time-variant RSRP changes</w:t>
            </w:r>
          </w:p>
          <w:p w14:paraId="4E98ABE0">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4(ZTE):</w:t>
            </w:r>
          </w:p>
          <w:p w14:paraId="52069082">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FR1, the transmitted power can be used as baseline for the definition on ground truth of L3-RSRP, which is obtained as the legacy way of conducted test</w:t>
            </w:r>
          </w:p>
          <w:p w14:paraId="60E2A6CA">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5(Xiaomi):</w:t>
            </w:r>
          </w:p>
          <w:p w14:paraId="72256BDF">
            <w:pPr>
              <w:pStyle w:val="12"/>
              <w:numPr>
                <w:ilvl w:val="2"/>
                <w:numId w:val="4"/>
              </w:numPr>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testing in FR1 RRM measurement prediction, RAN4 can assume that the actual ground truth is available at TE.</w:t>
            </w:r>
          </w:p>
          <w:p w14:paraId="20A837B5">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6(Samsung):</w:t>
            </w:r>
          </w:p>
          <w:p w14:paraId="706DF198">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FR1 RSRP prediction accuracy testing, the ideal RSRP (i.e., the ground truth) can be of the transmit power settled by TE in noise-free/high SNR test condition.</w:t>
            </w:r>
          </w:p>
          <w:p w14:paraId="611CFD88">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FFS: The power level at which SS-RSRP measurement is conducted</w:t>
            </w:r>
          </w:p>
          <w:p w14:paraId="2FBFAA0B">
            <w:pPr>
              <w:pStyle w:val="12"/>
              <w:numPr>
                <w:ilvl w:val="3"/>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FFS: The exact SNR level emulated</w:t>
            </w:r>
          </w:p>
          <w:p w14:paraId="44DA4210">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Proposal 7 (Ericsson):</w:t>
            </w:r>
          </w:p>
          <w:p w14:paraId="042544BF">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Malgun Gothic" w:cs="Times New Roman"/>
                <w:sz w:val="20"/>
                <w:szCs w:val="20"/>
                <w:lang w:eastAsia="ko-KR"/>
              </w:rPr>
              <w:t>I</w:t>
            </w:r>
            <w:r>
              <w:rPr>
                <w:rFonts w:hint="default" w:ascii="Times New Roman" w:hAnsi="Times New Roman" w:eastAsia="Yu Mincho" w:cs="Times New Roman"/>
                <w:sz w:val="20"/>
                <w:szCs w:val="20"/>
              </w:rPr>
              <w:t>n FR1, ground truth of the predicted L3-RSRP value is calculated for the conducted testing setup in place for testing.</w:t>
            </w:r>
          </w:p>
          <w:p w14:paraId="24CAFA34">
            <w:pPr>
              <w:numPr>
                <w:ilvl w:val="1"/>
                <w:numId w:val="4"/>
              </w:numPr>
              <w:autoSpaceDE w:val="0"/>
              <w:autoSpaceDN w:val="0"/>
              <w:adjustRightInd w:val="0"/>
              <w:snapToGrid w:val="0"/>
              <w:spacing w:before="120" w:after="120"/>
              <w:jc w:val="both"/>
              <w:rPr>
                <w:rFonts w:hint="default" w:ascii="Times New Roman" w:hAnsi="Times New Roman" w:cs="Times New Roman"/>
                <w:iCs/>
                <w:sz w:val="20"/>
                <w:szCs w:val="20"/>
                <w:lang w:val="en-GB"/>
              </w:rPr>
            </w:pPr>
            <w:r>
              <w:rPr>
                <w:rFonts w:hint="default" w:ascii="Times New Roman" w:hAnsi="Times New Roman" w:eastAsia="Malgun Gothic" w:cs="Times New Roman"/>
                <w:iCs/>
                <w:sz w:val="20"/>
                <w:szCs w:val="20"/>
                <w:lang w:val="en-GB" w:eastAsia="ko-KR"/>
              </w:rPr>
              <w:t>Proposal 8 (Qualcomm):</w:t>
            </w:r>
          </w:p>
          <w:p w14:paraId="519BB051">
            <w:pPr>
              <w:numPr>
                <w:ilvl w:val="2"/>
                <w:numId w:val="4"/>
              </w:numPr>
              <w:autoSpaceDE w:val="0"/>
              <w:autoSpaceDN w:val="0"/>
              <w:adjustRightInd w:val="0"/>
              <w:snapToGrid w:val="0"/>
              <w:spacing w:before="120" w:after="12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iCs/>
                <w:sz w:val="20"/>
                <w:szCs w:val="20"/>
                <w:lang w:val="en-GB" w:eastAsia="ko-KR"/>
              </w:rPr>
              <w:t>S</w:t>
            </w:r>
            <w:r>
              <w:rPr>
                <w:rFonts w:hint="default" w:ascii="Times New Roman" w:hAnsi="Times New Roman" w:cs="Times New Roman"/>
                <w:iCs/>
                <w:sz w:val="20"/>
                <w:szCs w:val="20"/>
                <w:lang w:val="en-GB"/>
              </w:rPr>
              <w:t>tudy the impact of time-varying channels and SNR due to fading and UE mobility on the definition of ground truth L3-RSRP</w:t>
            </w:r>
          </w:p>
        </w:tc>
      </w:tr>
    </w:tbl>
    <w:p w14:paraId="58302FE3">
      <w:pPr>
        <w:spacing w:after="180" w:line="240" w:lineRule="exact"/>
        <w:rPr>
          <w:rFonts w:hint="eastAsia" w:ascii="Times New Roman" w:hAnsi="Times New Roman" w:eastAsia="等线"/>
          <w:bCs/>
          <w:iCs/>
          <w:sz w:val="20"/>
          <w:szCs w:val="20"/>
          <w:lang w:val="en-US" w:eastAsia="zh-CN"/>
        </w:rPr>
      </w:pPr>
    </w:p>
    <w:p w14:paraId="09F900C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It was agreed to consider conducted testing as baseline for testing in FR1. In legacy conducted test, the ground truth is the transmit power which can be settled by TE, which means that ground truth is available. Similar approach can be used for FR1 AI/ML mobility. However, according to the discussion in last meeting, issues are identified to assume transmitted power at TE as the ground truth for FR1. In legacy FR1 test case set up, there is no L3 filtering and the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However, for AI test, fading channel will be employed, which means there is channel fluctuation in the time domain. How UE perform L1/L3 filtering will have impact on the ideal RSRP. SinceTE has no such information, it is difficult for TE to derive the ground truth. To solve the issue, One solution is to assume no L3 filtering in the test case. As for the impact due to L1 filtering, it can be further check whether it is possible to assume one filtering mechanism when TE derive the ground truth.</w:t>
      </w:r>
    </w:p>
    <w:p w14:paraId="28BB515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FR1 AI/ML mobility, it is proposed that the ground truth is available at TE.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2217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F01675">
            <w:pPr>
              <w:pStyle w:val="14"/>
              <w:rPr>
                <w:rFonts w:hint="default" w:ascii="Times New Roman" w:hAnsi="Times New Roman" w:cs="Times New Roman"/>
                <w:b/>
                <w:bCs/>
                <w:sz w:val="20"/>
                <w:szCs w:val="20"/>
                <w:u w:val="single"/>
              </w:rPr>
            </w:pPr>
            <w:r>
              <w:rPr>
                <w:rFonts w:hint="default" w:ascii="Times New Roman" w:hAnsi="Times New Roman" w:cs="Times New Roman"/>
                <w:b/>
                <w:bCs/>
                <w:sz w:val="20"/>
                <w:szCs w:val="20"/>
                <w:u w:val="single"/>
              </w:rPr>
              <w:t>Issue 3-2-2: Principle of FR2 testing</w:t>
            </w:r>
          </w:p>
          <w:p w14:paraId="1C9A46DF">
            <w:pPr>
              <w:pStyle w:val="12"/>
              <w:numPr>
                <w:ilvl w:val="0"/>
                <w:numId w:val="4"/>
              </w:numPr>
              <w:overflowPunct/>
              <w:autoSpaceDE/>
              <w:autoSpaceDN/>
              <w:adjustRightInd/>
              <w:spacing w:after="120"/>
              <w:ind w:left="720" w:firstLineChars="0"/>
              <w:textAlignment w:val="auto"/>
              <w:rPr>
                <w:rFonts w:hint="default" w:ascii="Times New Roman" w:hAnsi="Times New Roman" w:eastAsia="宋体" w:cs="Times New Roman"/>
                <w:color w:val="0070C0"/>
                <w:sz w:val="20"/>
                <w:szCs w:val="20"/>
                <w:lang w:eastAsia="zh-CN"/>
              </w:rPr>
            </w:pPr>
            <w:r>
              <w:rPr>
                <w:rFonts w:hint="default" w:ascii="Times New Roman" w:hAnsi="Times New Roman" w:eastAsia="宋体" w:cs="Times New Roman"/>
                <w:color w:val="0070C0"/>
                <w:sz w:val="20"/>
                <w:szCs w:val="20"/>
                <w:lang w:eastAsia="zh-CN"/>
              </w:rPr>
              <w:t>Proposals and Observations:</w:t>
            </w:r>
          </w:p>
          <w:p w14:paraId="659D8D9C">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1 (vivo): </w:t>
            </w:r>
          </w:p>
          <w:p w14:paraId="684E8724">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consider OTA testing for FR2 (scenario 4) and using one probe to emulate different Tx beams by applying different power for AI mobility FR2 beam level test for one cell.</w:t>
            </w:r>
          </w:p>
          <w:p w14:paraId="27A35861">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2 (Qualcomm):</w:t>
            </w:r>
          </w:p>
          <w:p w14:paraId="40825515">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Regarding the uncertainty due to the UE Rx beam gain and spherical coverage in FR2 AI/ML-based RRM prediction, RAN4 to wait and see the outcome of the simulation campaign from AI/ML-based BM and try to leverage the results and observations to the extent possible</w:t>
            </w:r>
          </w:p>
          <w:p w14:paraId="6306EA48">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3 (Xiaomi, Samsung): </w:t>
            </w:r>
          </w:p>
          <w:p w14:paraId="1B56BC54">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cs="Times New Roman"/>
                <w:iCs/>
                <w:sz w:val="20"/>
                <w:szCs w:val="20"/>
              </w:rPr>
              <w:t>For FR2 measurement prediction, conclusions on testability that RAN4 made for AI/ML BM can be taken as a baseline.</w:t>
            </w:r>
          </w:p>
          <w:p w14:paraId="698392C4">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cs="Times New Roman"/>
                <w:iCs/>
                <w:sz w:val="20"/>
                <w:szCs w:val="20"/>
              </w:rPr>
              <w:t>Proposal 4 (Nokia):</w:t>
            </w:r>
          </w:p>
          <w:p w14:paraId="77A26881">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For FR2, the under-study testing setup in AI/ML BM use case should be reused as a baseline for measurement prediction use case testing.</w:t>
            </w:r>
          </w:p>
          <w:p w14:paraId="2C900E02">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should consider new aspects for FR2 testing in AI/ML mobility such as channel model, number of AoAs, maximum number of cells and Tx beams and number of probes required in the test chamber.</w:t>
            </w:r>
          </w:p>
          <w:p w14:paraId="2D7620FE">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 xml:space="preserve">Proposal 5 (CATT): </w:t>
            </w:r>
          </w:p>
          <w:p w14:paraId="27DC87F1">
            <w:pPr>
              <w:pStyle w:val="12"/>
              <w:numPr>
                <w:ilvl w:val="2"/>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RAN4 to postpone discussion on test set up in FR2 until sufficient progress is made in AI/ML BM.</w:t>
            </w:r>
          </w:p>
          <w:p w14:paraId="5257EFF5">
            <w:pPr>
              <w:pStyle w:val="12"/>
              <w:numPr>
                <w:ilvl w:val="1"/>
                <w:numId w:val="4"/>
              </w:numPr>
              <w:spacing w:before="120" w:after="120"/>
              <w:ind w:firstLineChars="0"/>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Proposal 6 (OPPO):</w:t>
            </w:r>
          </w:p>
          <w:p w14:paraId="63618A5D">
            <w:pPr>
              <w:numPr>
                <w:ilvl w:val="2"/>
                <w:numId w:val="4"/>
              </w:numPr>
              <w:snapToGrid w:val="0"/>
              <w:spacing w:before="120" w:after="120"/>
              <w:jc w:val="both"/>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Yu Mincho" w:cs="Times New Roman"/>
                <w:sz w:val="20"/>
                <w:szCs w:val="20"/>
              </w:rPr>
              <w:t>For FR2 prediction, proposals and conclusions that RAN4 made for AI BM can be reused, e.g., whether the chamber in OTA testing can be utilized and how to utilize/revise it.</w:t>
            </w:r>
          </w:p>
        </w:tc>
      </w:tr>
    </w:tbl>
    <w:p w14:paraId="4F2CCC21">
      <w:pPr>
        <w:spacing w:after="180" w:line="240" w:lineRule="exact"/>
        <w:rPr>
          <w:rFonts w:hint="eastAsia" w:ascii="Times New Roman" w:hAnsi="Times New Roman" w:eastAsia="等线"/>
          <w:bCs/>
          <w:iCs/>
          <w:sz w:val="20"/>
          <w:szCs w:val="20"/>
          <w:lang w:val="en-US" w:eastAsia="zh-CN"/>
        </w:rPr>
      </w:pPr>
    </w:p>
    <w:p w14:paraId="1BEA588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shown in Table 1, scenario 4, 5, 6 are for FR2 intra-frequency including time domain prediction and spatial domain prediction. Those cases are similar as that for AI/ML BM use case. AI/ML BM use case include two case: BM-Case1: Spatial-domain Downlink beam prediction for Set A of beams based on measurement results of Set B of beams, BM-Case2: Temporal Downlink beam prediction for Set A of beams based on the historic measurement results of Set B of beams. And test setup and methodology for the beam management, e.g. single AoA vs multiple AoA(s) are under discussion in AI/ML BM use case. Considering that the situation for AI/ML Mobility testing in FR2 is similar as that for AI/ML BM use case, the conclusion of later one can be used as baseline.</w:t>
      </w:r>
    </w:p>
    <w:p w14:paraId="789EC38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AI/ML Mobility testing in FR2, it is proposed to take the outcome of AI/ML BM use case as baseline. </w:t>
      </w:r>
    </w:p>
    <w:p w14:paraId="2DA35C25">
      <w:pPr>
        <w:spacing w:after="180" w:line="240" w:lineRule="exact"/>
        <w:rPr>
          <w:rFonts w:hint="eastAsia" w:ascii="Times New Roman" w:hAnsi="Times New Roman" w:eastAsia="等线"/>
          <w:bCs/>
          <w:iCs/>
          <w:sz w:val="20"/>
          <w:szCs w:val="20"/>
          <w:lang w:val="en-US" w:eastAsia="zh-CN"/>
        </w:rPr>
      </w:pPr>
    </w:p>
    <w:bookmarkEnd w:id="7"/>
    <w:bookmarkEnd w:id="8"/>
    <w:p w14:paraId="5C18422E">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6404C5E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lang w:val="en-US" w:eastAsia="zh-CN"/>
        </w:rPr>
        <w:t>testability and interoperability for AI/ML for mobility</w:t>
      </w:r>
      <w:r>
        <w:rPr>
          <w:rFonts w:hint="eastAsia" w:ascii="Times New Roman" w:hAnsi="Times New Roman"/>
          <w:sz w:val="20"/>
          <w:szCs w:val="20"/>
        </w:rPr>
        <w:t>. The proposals are:</w:t>
      </w:r>
    </w:p>
    <w:p w14:paraId="24D9664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test on </w:t>
      </w:r>
      <w:r>
        <w:rPr>
          <w:rFonts w:hint="default" w:ascii="Times New Roman" w:hAnsi="Times New Roman" w:eastAsia="Yu Mincho" w:cs="Times New Roman"/>
          <w:b/>
          <w:bCs w:val="0"/>
          <w:i/>
          <w:iCs w:val="0"/>
          <w:sz w:val="20"/>
          <w:szCs w:val="20"/>
        </w:rPr>
        <w:t>intra-frequency temporal domain</w:t>
      </w:r>
      <w:r>
        <w:rPr>
          <w:rFonts w:hint="eastAsia" w:ascii="Times New Roman" w:hAnsi="Times New Roman" w:cs="Times New Roman"/>
          <w:b/>
          <w:bCs w:val="0"/>
          <w:i/>
          <w:iCs w:val="0"/>
          <w:sz w:val="20"/>
          <w:szCs w:val="20"/>
          <w:lang w:val="en-US" w:eastAsia="zh-CN"/>
        </w:rPr>
        <w:t xml:space="preserve"> prediction</w:t>
      </w:r>
      <w:r>
        <w:rPr>
          <w:rFonts w:hint="eastAsia" w:ascii="Times New Roman" w:hAnsi="Times New Roman" w:eastAsia="等线"/>
          <w:b/>
          <w:bCs w:val="0"/>
          <w:i/>
          <w:iCs w:val="0"/>
          <w:sz w:val="20"/>
          <w:szCs w:val="20"/>
          <w:lang w:val="en-US" w:eastAsia="zh-CN"/>
        </w:rPr>
        <w:t xml:space="preserve">tes (scenario 2 and 4), the test setup for legacy mobility can be used as baseline but with modification, since test setup for legacy mobility is based on two cells while AI/ML test targets for intra-cell.     </w:t>
      </w:r>
    </w:p>
    <w:p w14:paraId="3E3BC8A2">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for test on inter-frequency frequency domain prediction (scenario 3), it is proposed to discuss how to update leagcy test setup based on two cells, since RAN2 agree to focus on frequency domain for cluster based approach.   </w:t>
      </w:r>
    </w:p>
    <w:p w14:paraId="3D692E5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FR1 AI/ML mobility, it is proposed that the ground truth is available at TE.  </w:t>
      </w:r>
    </w:p>
    <w:p w14:paraId="28CAF04B">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AI/ML Mobility testing in FR2, it is proposed to take the outcome of AI/ML BM use case as baseline. </w:t>
      </w:r>
    </w:p>
    <w:p w14:paraId="60C533D4">
      <w:pPr>
        <w:spacing w:after="180" w:line="240" w:lineRule="exact"/>
        <w:rPr>
          <w:rFonts w:hint="eastAsia" w:ascii="Times New Roman" w:hAnsi="Times New Roman"/>
          <w:sz w:val="20"/>
          <w:szCs w:val="20"/>
        </w:rPr>
      </w:pPr>
    </w:p>
    <w:p w14:paraId="0909EFCC">
      <w:pPr>
        <w:pStyle w:val="2"/>
        <w:widowControl/>
        <w:numPr>
          <w:ilvl w:val="0"/>
          <w:numId w:val="2"/>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4FE89547">
      <w:pPr>
        <w:pStyle w:val="13"/>
        <w:framePr w:wrap="auto" w:vAnchor="margin" w:hAnchor="text" w:yAlign="inline"/>
        <w:numPr>
          <w:ilvl w:val="0"/>
          <w:numId w:val="5"/>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242393</w:t>
      </w:r>
      <w:r>
        <w:rPr>
          <w:rFonts w:ascii="Times" w:hAnsi="Times" w:eastAsia="宋体"/>
          <w:b w:val="0"/>
          <w:sz w:val="20"/>
          <w:lang w:eastAsia="zh-CN"/>
        </w:rPr>
        <w:t xml:space="preserve">, </w:t>
      </w:r>
      <w:r>
        <w:rPr>
          <w:rFonts w:hint="eastAsia" w:ascii="Times" w:hAnsi="Times" w:eastAsia="宋体"/>
          <w:b w:val="0"/>
          <w:sz w:val="20"/>
          <w:lang w:eastAsia="zh-CN"/>
        </w:rPr>
        <w:t>Revised SID on AIML for mobility in NR</w:t>
      </w:r>
    </w:p>
    <w:p w14:paraId="03C37C82">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R4-2420095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679EF9FE">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R4-2502594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3EBB3267">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R4-2416855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Mobility</w:t>
      </w:r>
      <w:r>
        <w:rPr>
          <w:rFonts w:hint="eastAsia" w:ascii="Times" w:hAnsi="Times" w:eastAsia="宋体"/>
          <w:b w:val="0"/>
          <w:sz w:val="20"/>
          <w:lang w:val="en-US" w:eastAsia="zh-CN"/>
        </w:rPr>
        <w:t>, Nokia</w:t>
      </w:r>
    </w:p>
    <w:p w14:paraId="4462A2A7">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R4-2414323</w:t>
      </w:r>
      <w:r>
        <w:rPr>
          <w:rFonts w:hint="eastAsia" w:ascii="Times" w:hAnsi="Times" w:eastAsia="宋体"/>
          <w:b w:val="0"/>
          <w:sz w:val="20"/>
          <w:lang w:val="en-US" w:eastAsia="zh-CN"/>
        </w:rPr>
        <w:t>, WF on AI/ML, Qualcomm Incorporated</w:t>
      </w:r>
    </w:p>
    <w:p w14:paraId="634AEE24">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3GPP TR 38.744</w:t>
      </w:r>
      <w:r>
        <w:rPr>
          <w:rFonts w:hint="eastAsia" w:ascii="Times" w:hAnsi="Times" w:eastAsia="宋体"/>
          <w:b w:val="0"/>
          <w:sz w:val="20"/>
          <w:lang w:val="en-US" w:eastAsia="zh-CN"/>
        </w:rPr>
        <w:t>, Study on Artificial Intelligence (AI)/Machine Learning (ML) for mobility in NR</w:t>
      </w:r>
    </w:p>
    <w:p w14:paraId="7CE58C5C">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R2-2404102</w:t>
      </w:r>
      <w:r>
        <w:rPr>
          <w:rFonts w:hint="eastAsia" w:ascii="Times" w:hAnsi="Times" w:eastAsia="宋体"/>
          <w:b w:val="0"/>
          <w:sz w:val="20"/>
          <w:lang w:val="en-US" w:eastAsia="zh-CN"/>
        </w:rPr>
        <w:t>, Report of 3GPP TSG RAN WG2 meeting #125bis</w:t>
      </w:r>
    </w:p>
    <w:p w14:paraId="756A47A8">
      <w:pPr>
        <w:pStyle w:val="13"/>
        <w:framePr w:wrap="auto" w:vAnchor="margin" w:hAnchor="text" w:yAlign="inline"/>
        <w:numPr>
          <w:ilvl w:val="0"/>
          <w:numId w:val="5"/>
        </w:numPr>
        <w:ind w:right="400"/>
        <w:jc w:val="both"/>
        <w:rPr>
          <w:rFonts w:ascii="Times" w:hAnsi="Times" w:eastAsia="宋体"/>
          <w:b w:val="0"/>
          <w:sz w:val="20"/>
          <w:lang w:eastAsia="zh-CN"/>
        </w:rPr>
      </w:pPr>
      <w:r>
        <w:rPr>
          <w:rFonts w:hint="eastAsia" w:ascii="Times" w:hAnsi="Times" w:eastAsia="宋体"/>
          <w:b w:val="0"/>
          <w:sz w:val="20"/>
          <w:lang w:eastAsia="zh-CN"/>
        </w:rPr>
        <w:t>Report of 3GPP TSG RAN WG2 meeting #126</w:t>
      </w:r>
    </w:p>
    <w:p w14:paraId="0C38F9A5">
      <w:pPr>
        <w:pStyle w:val="13"/>
        <w:framePr w:wrap="auto" w:vAnchor="margin" w:hAnchor="text" w:yAlign="inline"/>
        <w:ind w:right="400"/>
        <w:jc w:val="both"/>
        <w:rPr>
          <w:rFonts w:ascii="Times" w:hAnsi="Times" w:eastAsia="宋体"/>
          <w:b w:val="0"/>
          <w:sz w:val="20"/>
          <w:lang w:eastAsia="zh-CN"/>
        </w:rPr>
      </w:pPr>
    </w:p>
    <w:p w14:paraId="5AD85129">
      <w:pPr>
        <w:pStyle w:val="13"/>
        <w:framePr w:wrap="auto" w:vAnchor="margin" w:hAnchor="text" w:yAlign="inline"/>
        <w:ind w:right="400"/>
        <w:jc w:val="both"/>
        <w:rPr>
          <w:rFonts w:ascii="Times" w:hAnsi="Times" w:eastAsia="宋体"/>
          <w:b w:val="0"/>
          <w:sz w:val="20"/>
          <w:lang w:eastAsia="zh-CN"/>
        </w:rPr>
      </w:pPr>
    </w:p>
    <w:p w14:paraId="20399D51">
      <w:pPr>
        <w:pStyle w:val="13"/>
        <w:framePr w:wrap="auto" w:vAnchor="margin" w:hAnchor="text" w:yAlign="inline"/>
        <w:ind w:right="400"/>
        <w:jc w:val="both"/>
        <w:rPr>
          <w:rFonts w:hint="eastAsia" w:ascii="Times" w:hAnsi="Times" w:eastAsia="宋体"/>
          <w:b w:val="0"/>
          <w:sz w:val="20"/>
          <w:lang w:val="en-US" w:eastAsia="zh-CN"/>
        </w:rPr>
      </w:pPr>
    </w:p>
    <w:p w14:paraId="3E731C9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tabs>
          <w:tab w:val="left" w:pos="0"/>
        </w:tabs>
        <w:ind w:left="936" w:hanging="360"/>
      </w:pPr>
      <w:rPr>
        <w:rFonts w:hint="default" w:ascii="Symbol" w:hAnsi="Symbol"/>
      </w:rPr>
    </w:lvl>
    <w:lvl w:ilvl="1" w:tentative="0">
      <w:start w:val="1"/>
      <w:numFmt w:val="bullet"/>
      <w:lvlText w:val="o"/>
      <w:lvlJc w:val="left"/>
      <w:pPr>
        <w:tabs>
          <w:tab w:val="left" w:pos="0"/>
        </w:tabs>
        <w:ind w:left="1656" w:hanging="360"/>
      </w:pPr>
      <w:rPr>
        <w:rFonts w:hint="default" w:ascii="Courier New" w:hAnsi="Courier New" w:cs="Courier New"/>
      </w:rPr>
    </w:lvl>
    <w:lvl w:ilvl="2" w:tentative="0">
      <w:start w:val="1"/>
      <w:numFmt w:val="bullet"/>
      <w:lvlText w:val=""/>
      <w:lvlJc w:val="left"/>
      <w:pPr>
        <w:tabs>
          <w:tab w:val="left" w:pos="0"/>
        </w:tabs>
        <w:ind w:left="2376" w:hanging="360"/>
      </w:pPr>
      <w:rPr>
        <w:rFonts w:hint="default" w:ascii="Wingdings" w:hAnsi="Wingdings"/>
      </w:rPr>
    </w:lvl>
    <w:lvl w:ilvl="3" w:tentative="0">
      <w:start w:val="1"/>
      <w:numFmt w:val="bullet"/>
      <w:lvlText w:val=""/>
      <w:lvlJc w:val="left"/>
      <w:pPr>
        <w:tabs>
          <w:tab w:val="left" w:pos="0"/>
        </w:tabs>
        <w:ind w:left="3096" w:hanging="360"/>
      </w:pPr>
      <w:rPr>
        <w:rFonts w:hint="default" w:ascii="Symbol" w:hAnsi="Symbol"/>
      </w:rPr>
    </w:lvl>
    <w:lvl w:ilvl="4" w:tentative="0">
      <w:start w:val="1"/>
      <w:numFmt w:val="bullet"/>
      <w:lvlText w:val="o"/>
      <w:lvlJc w:val="left"/>
      <w:pPr>
        <w:tabs>
          <w:tab w:val="left" w:pos="0"/>
        </w:tabs>
        <w:ind w:left="3816" w:hanging="360"/>
      </w:pPr>
      <w:rPr>
        <w:rFonts w:hint="default" w:ascii="Courier New" w:hAnsi="Courier New" w:cs="Courier New"/>
      </w:rPr>
    </w:lvl>
    <w:lvl w:ilvl="5" w:tentative="0">
      <w:start w:val="1"/>
      <w:numFmt w:val="bullet"/>
      <w:lvlText w:val=""/>
      <w:lvlJc w:val="left"/>
      <w:pPr>
        <w:tabs>
          <w:tab w:val="left" w:pos="0"/>
        </w:tabs>
        <w:ind w:left="4536" w:hanging="360"/>
      </w:pPr>
      <w:rPr>
        <w:rFonts w:hint="default" w:ascii="Wingdings" w:hAnsi="Wingdings"/>
      </w:rPr>
    </w:lvl>
    <w:lvl w:ilvl="6" w:tentative="0">
      <w:start w:val="1"/>
      <w:numFmt w:val="bullet"/>
      <w:lvlText w:val=""/>
      <w:lvlJc w:val="left"/>
      <w:pPr>
        <w:tabs>
          <w:tab w:val="left" w:pos="0"/>
        </w:tabs>
        <w:ind w:left="5256" w:hanging="360"/>
      </w:pPr>
      <w:rPr>
        <w:rFonts w:hint="default" w:ascii="Symbol" w:hAnsi="Symbol"/>
      </w:rPr>
    </w:lvl>
    <w:lvl w:ilvl="7" w:tentative="0">
      <w:start w:val="1"/>
      <w:numFmt w:val="bullet"/>
      <w:lvlText w:val="o"/>
      <w:lvlJc w:val="left"/>
      <w:pPr>
        <w:tabs>
          <w:tab w:val="left" w:pos="0"/>
        </w:tabs>
        <w:ind w:left="5976" w:hanging="360"/>
      </w:pPr>
      <w:rPr>
        <w:rFonts w:hint="default" w:ascii="Courier New" w:hAnsi="Courier New" w:cs="Courier New"/>
      </w:rPr>
    </w:lvl>
    <w:lvl w:ilvl="8" w:tentative="0">
      <w:start w:val="1"/>
      <w:numFmt w:val="bullet"/>
      <w:lvlText w:val=""/>
      <w:lvlJc w:val="left"/>
      <w:pPr>
        <w:tabs>
          <w:tab w:val="left" w:pos="0"/>
        </w:tabs>
        <w:ind w:left="6696"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123534"/>
    <w:rsid w:val="039B37C7"/>
    <w:rsid w:val="03B64756"/>
    <w:rsid w:val="05467D5B"/>
    <w:rsid w:val="05581271"/>
    <w:rsid w:val="089944A9"/>
    <w:rsid w:val="095F3199"/>
    <w:rsid w:val="0BD22464"/>
    <w:rsid w:val="0C360518"/>
    <w:rsid w:val="0D3650B0"/>
    <w:rsid w:val="0D4E5761"/>
    <w:rsid w:val="138C7281"/>
    <w:rsid w:val="13E54515"/>
    <w:rsid w:val="154B4C98"/>
    <w:rsid w:val="17722603"/>
    <w:rsid w:val="17795811"/>
    <w:rsid w:val="17AD1EBF"/>
    <w:rsid w:val="1E262080"/>
    <w:rsid w:val="1EA13FCF"/>
    <w:rsid w:val="1F4B69E7"/>
    <w:rsid w:val="1FB44D91"/>
    <w:rsid w:val="20E821F8"/>
    <w:rsid w:val="21F229A5"/>
    <w:rsid w:val="22F84732"/>
    <w:rsid w:val="24E9569E"/>
    <w:rsid w:val="296A6325"/>
    <w:rsid w:val="2BD36B73"/>
    <w:rsid w:val="2C0003B4"/>
    <w:rsid w:val="2C963514"/>
    <w:rsid w:val="2CC97A35"/>
    <w:rsid w:val="2F0E7FC2"/>
    <w:rsid w:val="31B53264"/>
    <w:rsid w:val="39A706A6"/>
    <w:rsid w:val="3AF811CC"/>
    <w:rsid w:val="411917F4"/>
    <w:rsid w:val="41395AA3"/>
    <w:rsid w:val="41597CC1"/>
    <w:rsid w:val="42566B61"/>
    <w:rsid w:val="45251780"/>
    <w:rsid w:val="457B600C"/>
    <w:rsid w:val="486C7D0F"/>
    <w:rsid w:val="48BD345D"/>
    <w:rsid w:val="495B36DC"/>
    <w:rsid w:val="4A513E14"/>
    <w:rsid w:val="4EE51018"/>
    <w:rsid w:val="4F01352B"/>
    <w:rsid w:val="4F676753"/>
    <w:rsid w:val="4FEB696F"/>
    <w:rsid w:val="521A547C"/>
    <w:rsid w:val="56582839"/>
    <w:rsid w:val="59A65848"/>
    <w:rsid w:val="5C491F27"/>
    <w:rsid w:val="61DF3A9F"/>
    <w:rsid w:val="62D556ED"/>
    <w:rsid w:val="63D0170C"/>
    <w:rsid w:val="676E7F3D"/>
    <w:rsid w:val="67A4673A"/>
    <w:rsid w:val="68D8170E"/>
    <w:rsid w:val="690E1BE8"/>
    <w:rsid w:val="6C642F64"/>
    <w:rsid w:val="6E8F758B"/>
    <w:rsid w:val="71A82806"/>
    <w:rsid w:val="73C17630"/>
    <w:rsid w:val="773A3D18"/>
    <w:rsid w:val="77B91A3C"/>
    <w:rsid w:val="77F160D3"/>
    <w:rsid w:val="79EA0896"/>
    <w:rsid w:val="7DB24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0">
    <w:name w:val="Table Grid"/>
    <w:basedOn w:val="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qFormat/>
    <w:uiPriority w:val="34"/>
    <w:pPr>
      <w:widowControl/>
      <w:ind w:firstLine="420" w:firstLineChars="200"/>
      <w:jc w:val="left"/>
    </w:pPr>
    <w:rPr>
      <w:rFonts w:ascii="宋体" w:hAnsi="宋体"/>
      <w:kern w:val="0"/>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5">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2025-03-28T07:40:14Z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99CA3F75D69E410D84A4BB8A3F58CF13</vt:lpwstr>
  </property>
</Properties>
</file>